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Pacote de Aprovacao do Modulo 6</w:t>
      </w:r>
    </w:p>
    <w:p>
      <w:pPr>
        <w:jc w:val="left"/>
      </w:pPr>
      <w:r>
        <w:rPr>
          <w:i/>
          <w:color w:val="315D7D"/>
          <w:sz w:val="21"/>
        </w:rPr>
        <w:t>Curso EAD de Prevencao ao Cibercrime | Fechamento formal do modulo em fase final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  <w:sz w:val="20"/>
              </w:rPr>
              <w:t>Pacote unico organizado para aprovacao rapida, reunindo capa de identificacao, formulario formal preenchido, parecer completo e resumo executivo de 1 pagina.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721"/>
        <w:gridCol w:w="6463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Status do pacote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Fechamento formal aberto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Decisao principal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Aprovado com ressalvas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Data de consolidacao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2026-05-13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Aprovacao institucional e fechamento curto do modulo</w:t>
            </w:r>
          </w:p>
        </w:tc>
      </w:tr>
    </w:tbl>
    <w:p/>
    <w:p>
      <w:pPr>
        <w:pStyle w:val="Heading1"/>
      </w:pPr>
      <w:r>
        <w:t>Conteudo do pacote</w:t>
      </w:r>
    </w:p>
    <w:p>
      <w:pPr>
        <w:pStyle w:val="ListBullet"/>
        <w:spacing w:after="20"/>
      </w:pPr>
      <w:r>
        <w:t>1. Capa do pacote de aprovacao do Modulo 6.</w:t>
      </w:r>
    </w:p>
    <w:p>
      <w:pPr>
        <w:pStyle w:val="ListBullet"/>
        <w:spacing w:after="20"/>
      </w:pPr>
      <w:r>
        <w:t>2. Formulario formal preenchido do Modulo 6.</w:t>
      </w:r>
    </w:p>
    <w:p>
      <w:pPr>
        <w:pStyle w:val="ListBullet"/>
        <w:spacing w:after="20"/>
      </w:pPr>
      <w:r>
        <w:t>3. Parecer completo de homologacao do Modulo 6.</w:t>
      </w:r>
    </w:p>
    <w:p>
      <w:pPr>
        <w:pStyle w:val="ListBullet"/>
        <w:spacing w:after="20"/>
      </w:pPr>
      <w:r>
        <w:t>4. Resumo executivo de 1 pagina do Modulo 6.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15D7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