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43C5A"/>
          <w:sz w:val="48"/>
        </w:rPr>
        <w:t>Sumario Executivo da Trilha Institucional</w:t>
      </w:r>
    </w:p>
    <w:p>
      <w:pPr>
        <w:jc w:val="left"/>
      </w:pPr>
      <w:r>
        <w:rPr>
          <w:i/>
          <w:color w:val="315D7D"/>
          <w:sz w:val="22"/>
        </w:rPr>
        <w:t>Visao consolidada do curso inteiro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184"/>
      </w:tblGrid>
      <w:tr>
        <w:tc>
          <w:tcPr>
            <w:tcW w:type="dxa" w:w="9858"/>
            <w:shd w:fill="EEF4F7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r>
              <w:rPr>
                <w:color w:val="143C5A"/>
              </w:rPr>
              <w:t>A trilha institucional do curso agora possui cinco modulos homologados. O novo M5 foi homologado com escopo proprio de transacoes e servicos digitais com verificacao segura, consolidando a arquitetura oficial do curso.</w:t>
            </w:r>
          </w:p>
        </w:tc>
      </w:tr>
    </w:tbl>
    <w:p/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9D6DF"/>
          <w:left w:val="single" w:sz="6" w:space="0" w:color="C9D6DF"/>
          <w:bottom w:val="single" w:sz="6" w:space="0" w:color="C9D6DF"/>
          <w:right w:val="single" w:sz="6" w:space="0" w:color="C9D6DF"/>
          <w:insideH w:val="single" w:sz="6" w:space="0" w:color="C9D6DF"/>
          <w:insideV w:val="single" w:sz="6" w:space="0" w:color="C9D6DF"/>
        </w:tblBorders>
      </w:tblPr>
      <w:tblGrid>
        <w:gridCol w:w="2835"/>
        <w:gridCol w:w="6350"/>
      </w:tblGrid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Modulos homologados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M1, M3, M4, M5 e M6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Modulo em fase final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Nenhum no momento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Status do M5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Homologado como modulo proprio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Modulo ainda sem banco final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M2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Leitura executiva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Arquitetura consistente, com M5 consolidado no escopo oficial</w:t>
            </w:r>
          </w:p>
        </w:tc>
      </w:tr>
    </w:tbl>
    <w:p/>
    <w:p>
      <w:pPr>
        <w:pStyle w:val="Heading1"/>
      </w:pPr>
      <w:r>
        <w:t>Estado atual do curso</w:t>
      </w:r>
    </w:p>
    <w:p>
      <w:pPr>
        <w:pStyle w:val="ListBullet"/>
        <w:spacing w:after="20"/>
      </w:pPr>
      <w:r>
        <w:t>M1, M3, M4, M5 e M6 funcionam agora como base homologada oficial do curso.</w:t>
      </w:r>
    </w:p>
    <w:p>
      <w:pPr>
        <w:pStyle w:val="ListBullet"/>
        <w:spacing w:after="20"/>
      </w:pPr>
      <w:r>
        <w:t>O M5 concluiu banco final, roteiros, slides e homologacao formal como modulo proprio da trilha.</w:t>
      </w:r>
    </w:p>
    <w:p>
      <w:pPr>
        <w:pStyle w:val="ListBullet"/>
        <w:spacing w:after="20"/>
      </w:pPr>
      <w:r>
        <w:t>O M6 permanece integrado sem redundancia com o eixo do M4 e com complementaridade em relacao ao novo M5.</w:t>
      </w:r>
    </w:p>
    <w:p>
      <w:pPr>
        <w:pStyle w:val="ListBullet"/>
        <w:spacing w:after="20"/>
      </w:pPr>
      <w:r>
        <w:t>O antigo recorte do M5 permanece apenas como referencia historica, sem efeito na governanca ativa da trilha.</w:t>
      </w:r>
    </w:p>
    <w:p>
      <w:pPr>
        <w:pStyle w:val="ListBullet"/>
        <w:spacing w:after="20"/>
      </w:pPr>
      <w:r>
        <w:t>M2 permanece como modulo futuro, ainda sem banco final suficiente para fechamento.</w:t>
      </w:r>
    </w:p>
    <w:p>
      <w:pPr>
        <w:pStyle w:val="Heading1"/>
      </w:pPr>
      <w:r>
        <w:t>Decisao de governanca</w:t>
      </w:r>
    </w:p>
    <w:p>
      <w:r>
        <w:t>A recomendacao institucional e manter a trilha oficial com M1, M3, M4, M5 e M6 homologados, reconhecendo o novo M5 como modulo proprio, sem conflito estrutural com os eixos de vulnerabilidade do M4 e de resposta a incidentes do M6.</w:t>
      </w:r>
    </w:p>
    <w:sectPr w:rsidR="00FC693F" w:rsidRPr="0006063C" w:rsidSect="00034616">
      <w:pgSz w:w="12240" w:h="15840"/>
      <w:pgMar w:top="1134" w:right="1191" w:bottom="1134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143C5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143C5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