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Aptos" w:hAnsi="Aptos"/>
          <w:b/>
          <w:color w:val="143C5A"/>
          <w:sz w:val="44"/>
        </w:rPr>
        <w:t>Plano de Publicacao dos Seis Modulos no AVA</w:t>
      </w:r>
    </w:p>
    <w:p>
      <w:pPr>
        <w:spacing w:after="280"/>
      </w:pPr>
      <w:r>
        <w:rPr>
          <w:rFonts w:ascii="Aptos" w:hAnsi="Aptos"/>
          <w:i/>
          <w:color w:val="315D7D"/>
          <w:sz w:val="22"/>
        </w:rPr>
        <w:t>Ciclo 23 | Implantacao progressiva e controlada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915"/>
            <w:shd w:fill="EEF4F7"/>
            <w:tcMar>
              <w:top w:w="120" w:type="dxa"/>
              <w:start w:w="135" w:type="dxa"/>
              <w:bottom w:w="120" w:type="dxa"/>
              <w:end w:w="135" w:type="dxa"/>
            </w:tcMar>
          </w:tcPr>
          <w:p>
            <w:pPr>
              <w:spacing w:after="0"/>
            </w:pPr>
            <w:r>
              <w:rPr>
                <w:rFonts w:ascii="Aptos" w:hAnsi="Aptos"/>
                <w:color w:val="143C5A"/>
                <w:sz w:val="20"/>
              </w:rPr>
              <w:t>Plano sugerido para subir o curso no AVA sem comprimir validacoes. O desenho usa marco relativo `T0`, libera os modulos em ondas curtas e preserva uma janela final para avaliacao transversal, feedback e ajuste fino da primeira oferta.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7D6E0"/>
          <w:left w:val="single" w:sz="6" w:space="0" w:color="C7D6E0"/>
          <w:bottom w:val="single" w:sz="6" w:space="0" w:color="C7D6E0"/>
          <w:right w:val="single" w:sz="6" w:space="0" w:color="C7D6E0"/>
          <w:insideH w:val="single" w:sz="6" w:space="0" w:color="C7D6E0"/>
          <w:insideV w:val="single" w:sz="6" w:space="0" w:color="C7D6E0"/>
        </w:tblBorders>
      </w:tblPr>
      <w:tblGrid>
        <w:gridCol w:w="2835"/>
        <w:gridCol w:w="6236"/>
      </w:tblGrid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Modelo de implantacao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Ondas progressivas por marco relativo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Janela sugerida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47 dias entre preparacao e fechamento da primeira oferta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Dependencia central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Shell do curso e equipe de operacao AVA ativados em T0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Aceite minimo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Modulo publicado, links ativos, atividade configurada e comunicacao emitida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Responsabilidade final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Coordenacao do curso + operacao AVA</w:t>
            </w:r>
          </w:p>
        </w:tc>
      </w:tr>
    </w:tbl>
    <w:p/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Sequencia sugerida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7D6E0"/>
          <w:left w:val="single" w:sz="6" w:space="0" w:color="C7D6E0"/>
          <w:bottom w:val="single" w:sz="6" w:space="0" w:color="C7D6E0"/>
          <w:right w:val="single" w:sz="6" w:space="0" w:color="C7D6E0"/>
          <w:insideH w:val="single" w:sz="6" w:space="0" w:color="C7D6E0"/>
          <w:insideV w:val="single" w:sz="6" w:space="0" w:color="C7D6E0"/>
        </w:tblBorders>
      </w:tblPr>
      <w:tblGrid>
        <w:gridCol w:w="1983"/>
        <w:gridCol w:w="1983"/>
        <w:gridCol w:w="1983"/>
        <w:gridCol w:w="1983"/>
        <w:gridCol w:w="1983"/>
      </w:tblGrid>
      <w:tr>
        <w:tc>
          <w:tcPr>
            <w:tcW w:type="dxa" w:w="96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Marco</w:t>
            </w:r>
          </w:p>
        </w:tc>
        <w:tc>
          <w:tcPr>
            <w:tcW w:type="dxa" w:w="1247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Entrega</w:t>
            </w:r>
          </w:p>
        </w:tc>
        <w:tc>
          <w:tcPr>
            <w:tcW w:type="dxa" w:w="2948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Acao principal</w:t>
            </w:r>
          </w:p>
        </w:tc>
        <w:tc>
          <w:tcPr>
            <w:tcW w:type="dxa" w:w="232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Saida operacional</w:t>
            </w:r>
          </w:p>
        </w:tc>
        <w:tc>
          <w:tcPr>
            <w:tcW w:type="dxa" w:w="181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Aceite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T0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Preparacao do curso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Abrir a sala-mestra, cadastrar equipe, configurar categorias, politica de progresso e identidade visual.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Shell do curso, trilha, area de avisos, FAQ e suporte.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Shell validado e navegacao inicial aprovada.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T+5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M1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Publicar modulo de entrada com orientacao inicial, banco formativo e atividade curta de leitura de risco.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Pagina do modulo, roteiro do tutor, quizzes, casos e materiais de apoio.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Modulo visivel, links ativos, atividade final configurada.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T+12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M2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Liberar eixo preventivo de golpes digitais apos estabilizacao do fluxo inicial dos participantes.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Modulo, trilha de conclusao, mensagens padrao de suporte e avaliacao.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Conteudo aberto, nota de apoio ao aluno e check de usabilidade.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T+19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M3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Adicionar protecao de contas e autenticacao com reforco de continuidade segura.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Modulo, banco homologado, slides e referencias de apoio.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Navegacao, midias e questionarios testados.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T+26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M4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Publicar privacidade, dispositivos e redes sociais em janela propria para reduzir sobreposicao cognitiva.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Modulo, estudos de caso e orientacoes de moderacao.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Casos, feedbacks e regras de participacao revisados.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T+33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M5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Inserir modulo de transacoes e servicos digitais como ponte para jornadas cotidianas legitimamente suspeitas.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Modulo, slides, roteiros, banco final e mensagens operacionais.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Fluxos de pagamento, reserva e suporte apresentados de modo preventivo.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T+40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M6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Fechar a trilha com resposta segura a incidentes, registro minimo util e continuidade.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Modulo final, avaliacao cumulativa e orientacao de encerramento.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Modulo final publicado e avaliacao integradora testada.</w:t>
            </w:r>
          </w:p>
        </w:tc>
      </w:tr>
      <w:tr>
        <w:tc>
          <w:tcPr>
            <w:tcW w:type="dxa" w:w="96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T+47 dias</w:t>
            </w:r>
          </w:p>
        </w:tc>
        <w:tc>
          <w:tcPr>
            <w:tcW w:type="dxa" w:w="124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Fechamento</w:t>
            </w:r>
          </w:p>
        </w:tc>
        <w:tc>
          <w:tcPr>
            <w:tcW w:type="dxa" w:w="294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Aplicar avaliacao transversal, pesquisa de satisfacao e relatorio de primeira oferta.</w:t>
            </w:r>
          </w:p>
        </w:tc>
        <w:tc>
          <w:tcPr>
            <w:tcW w:type="dxa" w:w="232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Prova final, formulario de feedback e relatorio operacional.</w:t>
            </w:r>
          </w:p>
        </w:tc>
        <w:tc>
          <w:tcPr>
            <w:tcW w:type="dxa" w:w="181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Primeiro ciclo encerrado com dados minimos para ajuste.</w:t>
            </w:r>
          </w:p>
        </w:tc>
      </w:tr>
    </w:tbl>
    <w:p/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Ativos minimos por modulo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pagina do modulo com objetivo, carga, orientacao inicial e criterio de conclusao;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quizzes e estudos de caso carregados no AVA, com feedbacks revisados e ordem coerente de uso;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roteiro do tutor ou orientacao de mediação para lidar com duvidas recorrentes;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material complementar e mensagens padrao de suporte, quando houver midias, arquivos ou perguntas frequentes;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checagem final de links, permissões, notas, gatilhos de progresso e mensagem de encerramento do modulo.</w:t>
      </w:r>
    </w:p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Dependencias entre frentes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a frente de operacao AVA depende do quadro mestre para saber ordem de carga, aceite e responsaveis;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a comunicacao institucional depende da aprovacao da versao executiva e da definicao do marco `T0`;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a avaliacao transversal final depende da publicacao completa dos seis modulos e da integracao dos bancos no ambiente;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a rotina de atualizacao depende dos registros da primeira oferta, especialmente duvidas, erros recorrentes e pontos de atrito.</w:t>
      </w:r>
    </w:p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Recomendacao de governanca</w:t>
      </w:r>
    </w:p>
    <w:p>
      <w:pPr>
        <w:spacing w:after="100" w:line="269" w:lineRule="auto"/>
      </w:pPr>
      <w:r>
        <w:rPr>
          <w:rFonts w:ascii="Aptos" w:hAnsi="Aptos"/>
          <w:i/>
          <w:color w:val="6A6A6A"/>
          <w:sz w:val="21"/>
        </w:rPr>
        <w:t>A implantacao deve evitar publicacao simultanea de muitos modulos sem janela de estabilizacao. O ganho operacional esperado vem de uma liberacao progressiva, com check de navegacao, teste de atividade e leitura das primeiras duvidas antes da abertura do proximo modulo.</w:t>
      </w:r>
    </w:p>
    <w:sectPr w:rsidR="00FC693F" w:rsidRPr="0006063C" w:rsidSect="00034616">
      <w:pgSz w:w="12240" w:h="15840"/>
      <w:pgMar w:top="1134" w:right="1134" w:bottom="107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