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Aptos" w:hAnsi="Aptos"/>
          <w:b/>
          <w:color w:val="143C5A"/>
          <w:sz w:val="44"/>
        </w:rPr>
        <w:t>Versao Executiva para Aprovacao Institucional</w:t>
      </w:r>
    </w:p>
    <w:p>
      <w:pPr>
        <w:spacing w:after="280"/>
      </w:pPr>
      <w:r>
        <w:rPr>
          <w:rFonts w:ascii="Aptos" w:hAnsi="Aptos"/>
          <w:i/>
          <w:color w:val="315D7D"/>
          <w:sz w:val="22"/>
        </w:rPr>
        <w:t>Ciclo 23 | Curso EAD de Prevencao ao Cibercrime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915"/>
            <w:shd w:fill="EEF4F7"/>
            <w:tcMar>
              <w:top w:w="120" w:type="dxa"/>
              <w:start w:w="135" w:type="dxa"/>
              <w:bottom w:w="120" w:type="dxa"/>
              <w:end w:w="135" w:type="dxa"/>
            </w:tcMar>
          </w:tcPr>
          <w:p>
            <w:pPr>
              <w:spacing w:after="0"/>
            </w:pPr>
            <w:r>
              <w:rPr>
                <w:rFonts w:ascii="Aptos" w:hAnsi="Aptos"/>
                <w:color w:val="143C5A"/>
                <w:sz w:val="20"/>
              </w:rPr>
              <w:t>Documento de decisao para transicao do curso da fase de homologacao para a fase de operacao. A recomendacao e aprovar a implantacao do curso com os seis modulos homologados e adotar o quadro mestre operacional como referencia de execucao.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2835"/>
        <w:gridCol w:w="6236"/>
      </w:tblGrid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Base homologada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M1, M2, M3, M4, M5 e M6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Carga horaria total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20h40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Banco institucional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66 quizzes e 33 estudos de caso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Estado do curso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Arquitetura principal concluida e pronta para operacao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Decisao sugerida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Aprovar publicacao orientada no AVA e governanca de manutencao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O que esta sendo aprovado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entrada do curso em fase de implantacao, com trilha oficial completa e sem modulos pendentes de homologacao;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uso do quadro mestre operacional como base unica para cronograma, responsaveis, dependencias e aceite;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publicacao progressiva dos seis modulos no AVA, com janela de estabilizacao entre entregas;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rotina periodica de atualizacao para preservar clareza, aderencia pedagogica e seguranca preventiva do conteudo.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Leitura executiva do curso</w:t>
      </w:r>
    </w:p>
    <w:p>
      <w:pPr>
        <w:spacing w:after="100" w:line="269" w:lineRule="auto"/>
      </w:pPr>
      <w:r>
        <w:rPr>
          <w:rFonts w:ascii="Aptos" w:hAnsi="Aptos"/>
          <w:i w:val="0"/>
          <w:color w:val="222222"/>
          <w:sz w:val="21"/>
        </w:rPr>
        <w:t>O curso chega ao ciclo 23 com seis modulos oficialmente homologados, cobrindo panorama de risco, golpes digitais, protecao de contas, privacidade, transacoes seguras e resposta a incidentes. A arquitetura passou a operar sem vazio estrutural, o que desloca a prioridade da producao de novos bancos para a implantacao, publicacao e manutencao do curso como oferta institucional.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1652"/>
        <w:gridCol w:w="1652"/>
        <w:gridCol w:w="1652"/>
        <w:gridCol w:w="1652"/>
        <w:gridCol w:w="1652"/>
        <w:gridCol w:w="1652"/>
      </w:tblGrid>
      <w:tr>
        <w:tc>
          <w:tcPr>
            <w:tcW w:type="dxa" w:w="79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Modulo</w:t>
            </w:r>
          </w:p>
        </w:tc>
        <w:tc>
          <w:tcPr>
            <w:tcW w:type="dxa" w:w="3969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Foco</w:t>
            </w:r>
          </w:p>
        </w:tc>
        <w:tc>
          <w:tcPr>
            <w:tcW w:type="dxa" w:w="907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Carga</w:t>
            </w:r>
          </w:p>
        </w:tc>
        <w:tc>
          <w:tcPr>
            <w:tcW w:type="dxa" w:w="215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Competencias</w:t>
            </w:r>
          </w:p>
        </w:tc>
        <w:tc>
          <w:tcPr>
            <w:tcW w:type="dxa" w:w="79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Quizzes</w:t>
            </w:r>
          </w:p>
        </w:tc>
        <w:tc>
          <w:tcPr>
            <w:tcW w:type="dxa" w:w="79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Casos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M1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Cidadania digital e panorama dos riscos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3h00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C1, C2, C8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10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5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M2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Golpes digitais e engenharia social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3h20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C2, C5, C8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12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6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M3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Protecao de contas, senhas e autenticacao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3h20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C3, C4, C7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12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6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M4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Privacidade, dispositivos e redes sociais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3h00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C4, C5, C6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10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5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M5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Transacoes e servicos digitais com verificacao segura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3h40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C2, C4, C5, C8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12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6</w:t>
            </w:r>
          </w:p>
        </w:tc>
      </w:tr>
      <w:tr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M6</w:t>
            </w:r>
          </w:p>
        </w:tc>
        <w:tc>
          <w:tcPr>
            <w:tcW w:type="dxa" w:w="3969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Resposta segura a incidentes</w:t>
            </w:r>
          </w:p>
        </w:tc>
        <w:tc>
          <w:tcPr>
            <w:tcW w:type="dxa" w:w="90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4h20</w:t>
            </w:r>
          </w:p>
        </w:tc>
        <w:tc>
          <w:tcPr>
            <w:tcW w:type="dxa" w:w="215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C3, C7, C8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10</w:t>
            </w:r>
          </w:p>
        </w:tc>
        <w:tc>
          <w:tcPr>
            <w:tcW w:type="dxa" w:w="79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5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Decisoes institucionais necessarias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validar a ordem de publicacao sugerida e a janela de implantacao relativa ao marco `T0`;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confirmar equipe responsavel por operacao AVA, suporte ao aluno e consolidacao de metricas de primeira oferta;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adotar criterio de revisao controlada para ajustes editoriais leves sem reabrir homologacao completa;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reservar uma janela de revisao semestral para atualizar linguagem, exemplos e material complementar.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Criterios de sucesso da implantacao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todos os modulos publicados com navegacao validada, materiais carregados e atividades configuradas;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comunicacao inicial do curso e de cada modulo emitida com linguagem clara para publico nao especialista;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monitoramento das duvidas mais recorrentes nas primeiras semanas de oferta;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registro de lições aprendidas para alimentar a rotina de atualizacao do curso.</w:t>
      </w:r>
    </w:p>
    <w:p>
      <w:pPr>
        <w:spacing w:after="100" w:line="269" w:lineRule="auto"/>
      </w:pPr>
      <w:r>
        <w:rPr>
          <w:rFonts w:ascii="Aptos" w:hAnsi="Aptos"/>
          <w:i/>
          <w:color w:val="6A6A6A"/>
          <w:sz w:val="21"/>
        </w:rPr>
        <w:t>Premissa operacional usada nesta versao: na ausencia de datas absolutas definidas, o plano foi estruturado com marco relativo de implantacao (`T0`) e liberacao progressiva por ondas curtas.</w:t>
      </w:r>
    </w:p>
    <w:sectPr w:rsidR="00FC693F" w:rsidRPr="0006063C" w:rsidSect="00034616">
      <w:pgSz w:w="12240" w:h="15840"/>
      <w:pgMar w:top="1134" w:right="1134" w:bottom="107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