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Guia de Fechamento do Proximo Modulo</w:t>
      </w:r>
    </w:p>
    <w:p>
      <w:pPr>
        <w:jc w:val="left"/>
      </w:pPr>
      <w:r>
        <w:rPr>
          <w:i/>
          <w:color w:val="315D7D"/>
          <w:sz w:val="21"/>
        </w:rPr>
        <w:t>Kit reutilizavel para o proximo modulo que entrar em fase final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858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Este kit serve para repetir o mesmo fechamento aplicado aos Modulos 1 e 4 quando um novo modulo atingir fase final de producao.</w:t>
            </w:r>
          </w:p>
        </w:tc>
      </w:tr>
    </w:tbl>
    <w:p/>
    <w:p>
      <w:pPr>
        <w:pStyle w:val="Heading1"/>
      </w:pPr>
      <w:r>
        <w:t>Passos minimos</w:t>
      </w:r>
    </w:p>
    <w:p>
      <w:pPr>
        <w:pStyle w:val="ListBullet"/>
        <w:spacing w:after="20"/>
      </w:pPr>
      <w:r>
        <w:t>1. Consolidar o banco final ou artefato final do modulo.</w:t>
      </w:r>
    </w:p>
    <w:p>
      <w:pPr>
        <w:pStyle w:val="ListBullet"/>
        <w:spacing w:after="20"/>
      </w:pPr>
      <w:r>
        <w:t>2. Preencher o formulario formal de homologacao com evidencias objetivas.</w:t>
      </w:r>
    </w:p>
    <w:p>
      <w:pPr>
        <w:pStyle w:val="ListBullet"/>
        <w:spacing w:after="20"/>
      </w:pPr>
      <w:r>
        <w:t>3. Redigir o parecer completo e o resumo executivo de 1 pagina.</w:t>
      </w:r>
    </w:p>
    <w:p>
      <w:pPr>
        <w:pStyle w:val="ListBullet"/>
        <w:spacing w:after="20"/>
      </w:pPr>
      <w:r>
        <w:t>4. Gerar a versao homologada do banco ou artefato apos o aceite.</w:t>
      </w:r>
    </w:p>
    <w:p>
      <w:pPr>
        <w:pStyle w:val="ListBullet"/>
        <w:spacing w:after="20"/>
      </w:pPr>
      <w:r>
        <w:t>5. Atualizar a trilha integrada e montar o pacote unico de aprovacao.</w:t>
      </w:r>
    </w:p>
    <w:p>
      <w:pPr>
        <w:pStyle w:val="Heading1"/>
      </w:pPr>
      <w:r>
        <w:t>Arquivos-base do kit</w:t>
      </w:r>
    </w:p>
    <w:p>
      <w:pPr>
        <w:pStyle w:val="ListBullet"/>
        <w:spacing w:after="20"/>
      </w:pPr>
      <w:r>
        <w:t>Formulario preenchivel de homologacao em XLSX.</w:t>
      </w:r>
    </w:p>
    <w:p>
      <w:pPr>
        <w:pStyle w:val="ListBullet"/>
        <w:spacing w:after="20"/>
      </w:pPr>
      <w:r>
        <w:t>Padrao institucional de homologacao em DOCX.</w:t>
      </w:r>
    </w:p>
    <w:p>
      <w:pPr>
        <w:pStyle w:val="ListBullet"/>
        <w:spacing w:after="20"/>
      </w:pPr>
      <w:r>
        <w:t>Capa-template do pacote de aprovacao em DOCX.</w:t>
      </w:r>
    </w:p>
    <w:p>
      <w:pPr>
        <w:pStyle w:val="ListBullet"/>
        <w:spacing w:after="20"/>
      </w:pPr>
      <w:r>
        <w:t>Este guia resumido de fechamento.</w:t>
      </w:r>
    </w:p>
    <w:sectPr w:rsidR="00FC693F" w:rsidRPr="0006063C" w:rsidSect="00034616">
      <w:pgSz w:w="12240" w:h="15840"/>
      <w:pgMar w:top="1134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315D7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