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143C5A"/>
          <w:sz w:val="44"/>
        </w:rPr>
        <w:t>Matriz Operacional do Novo Modulo 5</w:t>
      </w:r>
    </w:p>
    <w:p>
      <w:pPr>
        <w:jc w:val="left"/>
      </w:pPr>
      <w:r>
        <w:rPr>
          <w:i/>
          <w:color w:val="315D7D"/>
          <w:sz w:val="21"/>
        </w:rPr>
        <w:t>Curso EAD de Prevencao ao Cibercrime | Transacoes e servicos digitais com verificacao segura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184"/>
      </w:tblGrid>
      <w:tr>
        <w:tc>
          <w:tcPr>
            <w:tcW w:type="dxa" w:w="9972"/>
            <w:shd w:fill="EEF4F7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color w:val="143C5A"/>
                <w:sz w:val="20"/>
              </w:rPr>
              <w:t>Documento operacional do novo M5 com arquitetura de aulas, distribuicao de quizzes e estudos de caso, competencias mobilizadas e criterios de qualidade para producao do banco inicial do modulo.</w:t>
            </w:r>
          </w:p>
        </w:tc>
      </w:tr>
    </w:tbl>
    <w:p/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C9D6DF"/>
          <w:left w:val="single" w:sz="6" w:space="0" w:color="C9D6DF"/>
          <w:bottom w:val="single" w:sz="6" w:space="0" w:color="C9D6DF"/>
          <w:right w:val="single" w:sz="6" w:space="0" w:color="C9D6DF"/>
          <w:insideH w:val="single" w:sz="6" w:space="0" w:color="C9D6DF"/>
          <w:insideV w:val="single" w:sz="6" w:space="0" w:color="C9D6DF"/>
        </w:tblBorders>
      </w:tblPr>
      <w:tblGrid>
        <w:gridCol w:w="2835"/>
        <w:gridCol w:w="6350"/>
      </w:tblGrid>
      <w:tr>
        <w:tc>
          <w:tcPr>
            <w:tcW w:type="dxa" w:w="4986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Modulo</w:t>
            </w:r>
          </w:p>
        </w:tc>
        <w:tc>
          <w:tcPr>
            <w:tcW w:type="dxa" w:w="4986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M5 - Transacoes e servicos digitais com verificacao segura</w:t>
            </w:r>
          </w:p>
        </w:tc>
      </w:tr>
      <w:tr>
        <w:tc>
          <w:tcPr>
            <w:tcW w:type="dxa" w:w="4986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Carga horaria</w:t>
            </w:r>
          </w:p>
        </w:tc>
        <w:tc>
          <w:tcPr>
            <w:tcW w:type="dxa" w:w="4986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3h40</w:t>
            </w:r>
          </w:p>
        </w:tc>
      </w:tr>
      <w:tr>
        <w:tc>
          <w:tcPr>
            <w:tcW w:type="dxa" w:w="4986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Competencias centrais</w:t>
            </w:r>
          </w:p>
        </w:tc>
        <w:tc>
          <w:tcPr>
            <w:tcW w:type="dxa" w:w="4986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C2, C4, C5 e C8</w:t>
            </w:r>
          </w:p>
        </w:tc>
      </w:tr>
      <w:tr>
        <w:tc>
          <w:tcPr>
            <w:tcW w:type="dxa" w:w="4986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Publico</w:t>
            </w:r>
          </w:p>
        </w:tc>
        <w:tc>
          <w:tcPr>
            <w:tcW w:type="dxa" w:w="4986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Publico nao especialista com uso cotidiano de servicos digitais</w:t>
            </w:r>
          </w:p>
        </w:tc>
      </w:tr>
      <w:tr>
        <w:tc>
          <w:tcPr>
            <w:tcW w:type="dxa" w:w="4986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Papel no curso</w:t>
            </w:r>
          </w:p>
        </w:tc>
        <w:tc>
          <w:tcPr>
            <w:tcW w:type="dxa" w:w="4986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Prevenir erro operacional em compras, pagamentos, reservas, entregas e suporte digital legitimo</w:t>
            </w:r>
          </w:p>
        </w:tc>
      </w:tr>
    </w:tbl>
    <w:p/>
    <w:p>
      <w:pPr>
        <w:pStyle w:val="Heading1"/>
      </w:pPr>
      <w:r>
        <w:t>Objetivo operacional</w:t>
      </w:r>
    </w:p>
    <w:p>
      <w:r>
        <w:t>Capacitar o participante a verificar legitimidade, reduzir exposicao de dados e decidir com seguranca antes de concluir transacoes ou contratar servicos digitais, evitando que a jornada cotidiana evolua para um incidente.</w:t>
      </w:r>
    </w:p>
    <w:p>
      <w:pPr>
        <w:pStyle w:val="Heading1"/>
      </w:pPr>
      <w:r>
        <w:t>Matriz de aulas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C9D6DF"/>
          <w:left w:val="single" w:sz="6" w:space="0" w:color="C9D6DF"/>
          <w:bottom w:val="single" w:sz="6" w:space="0" w:color="C9D6DF"/>
          <w:right w:val="single" w:sz="6" w:space="0" w:color="C9D6DF"/>
          <w:insideH w:val="single" w:sz="6" w:space="0" w:color="C9D6DF"/>
          <w:insideV w:val="single" w:sz="6" w:space="0" w:color="C9D6DF"/>
        </w:tblBorders>
      </w:tblPr>
      <w:tblGrid>
        <w:gridCol w:w="737"/>
        <w:gridCol w:w="2154"/>
        <w:gridCol w:w="850"/>
        <w:gridCol w:w="1701"/>
        <w:gridCol w:w="2778"/>
        <w:gridCol w:w="1134"/>
        <w:gridCol w:w="1020"/>
      </w:tblGrid>
      <w:tr>
        <w:tc>
          <w:tcPr>
            <w:tcW w:type="dxa" w:w="1425"/>
            <w:shd w:fill="143C5A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b/>
                <w:color w:val="FFFFFF"/>
              </w:rPr>
              <w:t>Aula</w:t>
            </w:r>
          </w:p>
        </w:tc>
        <w:tc>
          <w:tcPr>
            <w:tcW w:type="dxa" w:w="1425"/>
            <w:shd w:fill="143C5A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b/>
                <w:color w:val="FFFFFF"/>
              </w:rPr>
              <w:t>Tema</w:t>
            </w:r>
          </w:p>
        </w:tc>
        <w:tc>
          <w:tcPr>
            <w:tcW w:type="dxa" w:w="1425"/>
            <w:shd w:fill="143C5A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b/>
                <w:color w:val="FFFFFF"/>
              </w:rPr>
              <w:t>Carga</w:t>
            </w:r>
          </w:p>
        </w:tc>
        <w:tc>
          <w:tcPr>
            <w:tcW w:type="dxa" w:w="1425"/>
            <w:shd w:fill="143C5A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b/>
                <w:color w:val="FFFFFF"/>
              </w:rPr>
              <w:t>Comp.</w:t>
            </w:r>
          </w:p>
        </w:tc>
        <w:tc>
          <w:tcPr>
            <w:tcW w:type="dxa" w:w="1425"/>
            <w:shd w:fill="143C5A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b/>
                <w:color w:val="FFFFFF"/>
              </w:rPr>
              <w:t>Objetivo</w:t>
            </w:r>
          </w:p>
        </w:tc>
        <w:tc>
          <w:tcPr>
            <w:tcW w:type="dxa" w:w="1425"/>
            <w:shd w:fill="143C5A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b/>
                <w:color w:val="FFFFFF"/>
              </w:rPr>
              <w:t>Quizzes</w:t>
            </w:r>
          </w:p>
        </w:tc>
        <w:tc>
          <w:tcPr>
            <w:tcW w:type="dxa" w:w="1425"/>
            <w:shd w:fill="143C5A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b/>
                <w:color w:val="FFFFFF"/>
              </w:rPr>
              <w:t>Casos</w:t>
            </w:r>
          </w:p>
        </w:tc>
      </w:tr>
      <w:tr>
        <w:tc>
          <w:tcPr>
            <w:tcW w:type="dxa" w:w="737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center"/>
            </w:pPr>
            <w:r>
              <w:t>5.1</w:t>
            </w:r>
          </w:p>
        </w:tc>
        <w:tc>
          <w:tcPr>
            <w:tcW w:type="dxa" w:w="215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Compras online, marketplaces e reputacao verificavel</w:t>
            </w:r>
          </w:p>
        </w:tc>
        <w:tc>
          <w:tcPr>
            <w:tcW w:type="dxa" w:w="850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45 min</w:t>
            </w:r>
          </w:p>
        </w:tc>
        <w:tc>
          <w:tcPr>
            <w:tcW w:type="dxa" w:w="1701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C2, C5</w:t>
            </w:r>
          </w:p>
        </w:tc>
        <w:tc>
          <w:tcPr>
            <w:tcW w:type="dxa" w:w="2778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Comparar sinais de confianca e de alerta em ofertas, vendedores, perfis comerciais e plataformas.</w:t>
            </w:r>
          </w:p>
        </w:tc>
        <w:tc>
          <w:tcPr>
            <w:tcW w:type="dxa" w:w="113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Q5-01, Q5-02</w:t>
            </w:r>
          </w:p>
        </w:tc>
        <w:tc>
          <w:tcPr>
            <w:tcW w:type="dxa" w:w="1020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EC5-01</w:t>
            </w:r>
          </w:p>
        </w:tc>
      </w:tr>
      <w:tr>
        <w:tc>
          <w:tcPr>
            <w:tcW w:type="dxa" w:w="737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center"/>
            </w:pPr>
            <w:r>
              <w:t>5.2</w:t>
            </w:r>
          </w:p>
        </w:tc>
        <w:tc>
          <w:tcPr>
            <w:tcW w:type="dxa" w:w="215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Pagamentos, QR codes, boletos e links de cobranca</w:t>
            </w:r>
          </w:p>
        </w:tc>
        <w:tc>
          <w:tcPr>
            <w:tcW w:type="dxa" w:w="850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45 min</w:t>
            </w:r>
          </w:p>
        </w:tc>
        <w:tc>
          <w:tcPr>
            <w:tcW w:type="dxa" w:w="1701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C2, C4</w:t>
            </w:r>
          </w:p>
        </w:tc>
        <w:tc>
          <w:tcPr>
            <w:tcW w:type="dxa" w:w="2778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Aplicar checklist de verificacao antes de pagar, copiar codigo, ler QR ou confirmar cobranca.</w:t>
            </w:r>
          </w:p>
        </w:tc>
        <w:tc>
          <w:tcPr>
            <w:tcW w:type="dxa" w:w="113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Q5-03, Q5-04</w:t>
            </w:r>
          </w:p>
        </w:tc>
        <w:tc>
          <w:tcPr>
            <w:tcW w:type="dxa" w:w="1020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EC5-02</w:t>
            </w:r>
          </w:p>
        </w:tc>
      </w:tr>
      <w:tr>
        <w:tc>
          <w:tcPr>
            <w:tcW w:type="dxa" w:w="737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center"/>
            </w:pPr>
            <w:r>
              <w:t>5.3</w:t>
            </w:r>
          </w:p>
        </w:tc>
        <w:tc>
          <w:tcPr>
            <w:tcW w:type="dxa" w:w="215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Entregas, retiradas, suporte e comprovantes sem exposicao excessiva</w:t>
            </w:r>
          </w:p>
        </w:tc>
        <w:tc>
          <w:tcPr>
            <w:tcW w:type="dxa" w:w="850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45 min</w:t>
            </w:r>
          </w:p>
        </w:tc>
        <w:tc>
          <w:tcPr>
            <w:tcW w:type="dxa" w:w="1701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C4, C8</w:t>
            </w:r>
          </w:p>
        </w:tc>
        <w:tc>
          <w:tcPr>
            <w:tcW w:type="dxa" w:w="2778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Definir quais dados compartilhar, quais registros guardar e como confirmar uma etapa de entrega ou suporte com seguranca.</w:t>
            </w:r>
          </w:p>
        </w:tc>
        <w:tc>
          <w:tcPr>
            <w:tcW w:type="dxa" w:w="113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Q5-05, Q5-06</w:t>
            </w:r>
          </w:p>
        </w:tc>
        <w:tc>
          <w:tcPr>
            <w:tcW w:type="dxa" w:w="1020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EC5-03</w:t>
            </w:r>
          </w:p>
        </w:tc>
      </w:tr>
      <w:tr>
        <w:tc>
          <w:tcPr>
            <w:tcW w:type="dxa" w:w="737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center"/>
            </w:pPr>
            <w:r>
              <w:t>5.4</w:t>
            </w:r>
          </w:p>
        </w:tc>
        <w:tc>
          <w:tcPr>
            <w:tcW w:type="dxa" w:w="215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Contratos, assinaturas, permissoes e dados minimos em servicos digitais</w:t>
            </w:r>
          </w:p>
        </w:tc>
        <w:tc>
          <w:tcPr>
            <w:tcW w:type="dxa" w:w="850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45 min</w:t>
            </w:r>
          </w:p>
        </w:tc>
        <w:tc>
          <w:tcPr>
            <w:tcW w:type="dxa" w:w="1701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C4, C5</w:t>
            </w:r>
          </w:p>
        </w:tc>
        <w:tc>
          <w:tcPr>
            <w:tcW w:type="dxa" w:w="2778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Distinguir dados necessarios de dados excessivos em cadastros, planos, reservas, assinaturas e atendimentos.</w:t>
            </w:r>
          </w:p>
        </w:tc>
        <w:tc>
          <w:tcPr>
            <w:tcW w:type="dxa" w:w="113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Q5-07, Q5-08</w:t>
            </w:r>
          </w:p>
        </w:tc>
        <w:tc>
          <w:tcPr>
            <w:tcW w:type="dxa" w:w="1020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EC5-04</w:t>
            </w:r>
          </w:p>
        </w:tc>
      </w:tr>
      <w:tr>
        <w:tc>
          <w:tcPr>
            <w:tcW w:type="dxa" w:w="737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center"/>
            </w:pPr>
            <w:r>
              <w:t>5.5</w:t>
            </w:r>
          </w:p>
        </w:tc>
        <w:tc>
          <w:tcPr>
            <w:tcW w:type="dxa" w:w="215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Caso integrador de jornada transacional segura</w:t>
            </w:r>
          </w:p>
        </w:tc>
        <w:tc>
          <w:tcPr>
            <w:tcW w:type="dxa" w:w="850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40 min</w:t>
            </w:r>
          </w:p>
        </w:tc>
        <w:tc>
          <w:tcPr>
            <w:tcW w:type="dxa" w:w="1701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C2, C5, C8</w:t>
            </w:r>
          </w:p>
        </w:tc>
        <w:tc>
          <w:tcPr>
            <w:tcW w:type="dxa" w:w="2778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Resolver caso completo envolvendo oferta, pagamento, suporte e comprovantes, justificando a decisao segura em cada etapa.</w:t>
            </w:r>
          </w:p>
        </w:tc>
        <w:tc>
          <w:tcPr>
            <w:tcW w:type="dxa" w:w="1134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Q5-09, Q5-10</w:t>
            </w:r>
          </w:p>
        </w:tc>
        <w:tc>
          <w:tcPr>
            <w:tcW w:type="dxa" w:w="1020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jc w:val="left"/>
            </w:pPr>
            <w:r>
              <w:t>EC5-05</w:t>
            </w:r>
          </w:p>
        </w:tc>
      </w:tr>
    </w:tbl>
    <w:p/>
    <w:p>
      <w:pPr>
        <w:pStyle w:val="Heading1"/>
      </w:pPr>
      <w:r>
        <w:t>Quizzes previstos</w:t>
      </w:r>
    </w:p>
    <w:p>
      <w:pPr>
        <w:pStyle w:val="ListBullet"/>
        <w:spacing w:after="40"/>
      </w:pPr>
      <w:r>
        <w:t>Q5-01 e Q5-02: sinais de confianca e alerta em ofertas, vendedores e plataformas.</w:t>
      </w:r>
    </w:p>
    <w:p>
      <w:pPr>
        <w:pStyle w:val="ListBullet"/>
        <w:spacing w:after="40"/>
      </w:pPr>
      <w:r>
        <w:t>Q5-03 e Q5-04: verificacao segura de boletos, links de pagamento e QR codes.</w:t>
      </w:r>
    </w:p>
    <w:p>
      <w:pPr>
        <w:pStyle w:val="ListBullet"/>
        <w:spacing w:after="40"/>
      </w:pPr>
      <w:r>
        <w:t>Q5-05 e Q5-06: entrega, retirada, suporte e compartilhamento minimo de dados.</w:t>
      </w:r>
    </w:p>
    <w:p>
      <w:pPr>
        <w:pStyle w:val="ListBullet"/>
        <w:spacing w:after="40"/>
      </w:pPr>
      <w:r>
        <w:t>Q5-07 e Q5-08: contratos, cadastros, assinaturas e permissoes em servicos digitais.</w:t>
      </w:r>
    </w:p>
    <w:p>
      <w:pPr>
        <w:pStyle w:val="ListBullet"/>
        <w:spacing w:after="40"/>
      </w:pPr>
      <w:r>
        <w:t>Q5-09 e Q5-10: caso integrador de jornada transacional segura.</w:t>
      </w:r>
    </w:p>
    <w:p>
      <w:pPr>
        <w:pStyle w:val="Heading1"/>
      </w:pPr>
      <w:r>
        <w:t>Estudos de caso previstos</w:t>
      </w:r>
    </w:p>
    <w:p>
      <w:pPr>
        <w:pStyle w:val="ListBullet"/>
        <w:spacing w:after="40"/>
      </w:pPr>
      <w:r>
        <w:t>EC5-01: compra em marketplace com reputacao inconsistente e urgencia comercial.</w:t>
      </w:r>
    </w:p>
    <w:p>
      <w:pPr>
        <w:pStyle w:val="ListBullet"/>
        <w:spacing w:after="40"/>
      </w:pPr>
      <w:r>
        <w:t>EC5-02: boleto e QR code enviados por canal paralelo apos confirmacao de pedido.</w:t>
      </w:r>
    </w:p>
    <w:p>
      <w:pPr>
        <w:pStyle w:val="ListBullet"/>
        <w:spacing w:after="40"/>
      </w:pPr>
      <w:r>
        <w:t>EC5-03: entrega, retirada e suporte pos-venda com exigencia indevida de dados.</w:t>
      </w:r>
    </w:p>
    <w:p>
      <w:pPr>
        <w:pStyle w:val="ListBullet"/>
        <w:spacing w:after="40"/>
      </w:pPr>
      <w:r>
        <w:t>EC5-04: assinatura digital com pedido excessivo de dados e permissoes.</w:t>
      </w:r>
    </w:p>
    <w:p>
      <w:pPr>
        <w:pStyle w:val="ListBullet"/>
        <w:spacing w:after="40"/>
      </w:pPr>
      <w:r>
        <w:t>EC5-05: caso integrador envolvendo oferta, pagamento, suporte e comprovantes.</w:t>
      </w:r>
    </w:p>
    <w:p>
      <w:pPr>
        <w:pStyle w:val="Heading1"/>
      </w:pPr>
      <w:r>
        <w:t>Criterios de qualidade</w:t>
      </w:r>
    </w:p>
    <w:p>
      <w:pPr>
        <w:pStyle w:val="ListBullet"/>
        <w:spacing w:after="40"/>
      </w:pPr>
      <w:r>
        <w:t>Foco preventivo e decisao proporcional, sem transformar exemplos em roteiro ofensivo.</w:t>
      </w:r>
    </w:p>
    <w:p>
      <w:pPr>
        <w:pStyle w:val="ListBullet"/>
        <w:spacing w:after="40"/>
      </w:pPr>
      <w:r>
        <w:t>Linguagem clara para nao especialistas, com feedbacks curtos e acionaveis.</w:t>
      </w:r>
    </w:p>
    <w:p>
      <w:pPr>
        <w:pStyle w:val="ListBullet"/>
        <w:spacing w:after="40"/>
      </w:pPr>
      <w:r>
        <w:t>Conexao explicita entre cada item, a aula correspondente e a competencia principal.</w:t>
      </w:r>
    </w:p>
    <w:p>
      <w:pPr>
        <w:pStyle w:val="ListBullet"/>
        <w:spacing w:after="40"/>
      </w:pPr>
      <w:r>
        <w:t>Minimizacao de dados, verificacao segura e organizacao de comprovantes como eixos transversais.</w:t>
      </w:r>
    </w:p>
    <w:sectPr w:rsidR="00FC693F" w:rsidRPr="0006063C" w:rsidSect="00034616">
      <w:pgSz w:w="12240" w:h="15840"/>
      <w:pgMar w:top="1134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2222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143C5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315D7D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143C5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