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Parecer de Homologacao do Modulo 4</w:t>
      </w:r>
    </w:p>
    <w:p>
      <w:pPr>
        <w:jc w:val="left"/>
      </w:pPr>
      <w:r>
        <w:rPr>
          <w:i/>
          <w:color w:val="315D7D"/>
          <w:sz w:val="21"/>
        </w:rPr>
        <w:t>Curso EAD de Prevencao ao Cibercrime | Banco final de quizzes e estudos de caso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298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left"/>
            </w:pPr>
            <w:r>
              <w:rPr>
                <w:color w:val="143C5A"/>
                <w:sz w:val="20"/>
              </w:rPr>
              <w:t>Parecer elaborado a partir da checklist de homologacao, leitura integral da estrutura do banco final do Modulo 4 e conferencia da integracao com a trilha avaliativa consolidada.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608"/>
        <w:gridCol w:w="669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avaliado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color w:val="222222"/>
              </w:rPr>
              <w:t>Modulo 4 - Grupos vulneraveis e contextos sensiveis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 principal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color w:val="222222"/>
              </w:rPr>
              <w:t>Banco final do Modulo 4 em XLSX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lido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color w:val="222222"/>
              </w:rPr>
              <w:t>Resumo, 10 quizzes finais e 5 estudos de caso completos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 proposta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color w:val="222222"/>
              </w:rPr>
              <w:t>Aprovado com ressalvas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 recomendado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color w:val="222222"/>
              </w:rPr>
              <w:t>Uso pedagogico autorizado apos ajuste fino editorial de homologacao</w:t>
            </w:r>
          </w:p>
        </w:tc>
      </w:tr>
    </w:tbl>
    <w:p/>
    <w:p>
      <w:pPr>
        <w:pStyle w:val="Heading1"/>
      </w:pPr>
      <w:r>
        <w:t>Sintese executiva</w:t>
      </w:r>
    </w:p>
    <w:p>
      <w:r>
        <w:t>O banco final do Modulo 4 apresenta boa coerencia com o tema do modulo, linguagem preventiva adequada e alinhamento consistente com acolhimento, proporcionalidade e escolha responsavel de canais de apoio. O material esta maduro para uso no fluxo do curso, mas ainda recomenda-se fechar a homologacao com uma rodada curta de ajuste editorial fino e aceite formal da distribuicao de competencias.</w:t>
      </w:r>
    </w:p>
    <w:p>
      <w:pPr>
        <w:pStyle w:val="Heading1"/>
      </w:pPr>
      <w:r>
        <w:t>Evidencias observadas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268"/>
        <w:gridCol w:w="5669"/>
        <w:gridCol w:w="1701"/>
      </w:tblGrid>
      <w:tr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Bloco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Evidencia objetiva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Leitura de parecer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Aderencia ao modulo</w:t>
            </w:r>
          </w:p>
        </w:tc>
        <w:tc>
          <w:tcPr>
            <w:tcW w:type="dxa" w:w="566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Quizzes e casos cobrem adolescentes, idosos, exposicao vexatoria, contexto escolar e contexto profissional.</w:t>
            </w:r>
          </w:p>
        </w:tc>
        <w:tc>
          <w:tcPr>
            <w:tcW w:type="dxa" w:w="170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Adequado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Coerencia pedagogica</w:t>
            </w:r>
          </w:p>
        </w:tc>
        <w:tc>
          <w:tcPr>
            <w:tcW w:type="dxa" w:w="566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Enunciados claros; respostas esperadas orientadas a decisao segura; feedbacks consistentes com os gabaritos.</w:t>
            </w:r>
          </w:p>
        </w:tc>
        <w:tc>
          <w:tcPr>
            <w:tcW w:type="dxa" w:w="170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Adequado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Competencias</w:t>
            </w:r>
          </w:p>
        </w:tc>
        <w:tc>
          <w:tcPr>
            <w:tcW w:type="dxa" w:w="566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Resumo aponta C5=2 quizzes e 1 caso; C6=4 quizzes e 3 casos; C8=4 quizzes e 1 caso.</w:t>
            </w:r>
          </w:p>
        </w:tc>
        <w:tc>
          <w:tcPr>
            <w:tcW w:type="dxa" w:w="170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Adequado com monitoramento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Seguranca editorial</w:t>
            </w:r>
          </w:p>
        </w:tc>
        <w:tc>
          <w:tcPr>
            <w:tcW w:type="dxa" w:w="566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Nao foram identificados passos operacionais ofensivos; os casos mantem foco em reducao de dano e orientacao segura.</w:t>
            </w:r>
          </w:p>
        </w:tc>
        <w:tc>
          <w:tcPr>
            <w:tcW w:type="dxa" w:w="170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Adequado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Qualidade tecnica</w:t>
            </w:r>
          </w:p>
        </w:tc>
        <w:tc>
          <w:tcPr>
            <w:tcW w:type="dxa" w:w="566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Planilha com abas completas, status uniformes e IDs distintos na amostra integral do modulo.</w:t>
            </w:r>
          </w:p>
        </w:tc>
        <w:tc>
          <w:tcPr>
            <w:tcW w:type="dxa" w:w="170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Adequado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Integracao na trilha</w:t>
            </w:r>
          </w:p>
        </w:tc>
        <w:tc>
          <w:tcPr>
            <w:tcW w:type="dxa" w:w="566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A trilha consolidada incorporou o modulo com 10 quizzes e 5 casos, sem contradicoes de maturidade.</w:t>
            </w:r>
          </w:p>
        </w:tc>
        <w:tc>
          <w:tcPr>
            <w:tcW w:type="dxa" w:w="170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Adequado</w:t>
            </w:r>
          </w:p>
        </w:tc>
      </w:tr>
    </w:tbl>
    <w:p/>
    <w:p>
      <w:pPr>
        <w:pStyle w:val="Heading1"/>
      </w:pPr>
      <w:r>
        <w:t>Ressalvas registradas</w:t>
      </w:r>
    </w:p>
    <w:p>
      <w:pPr>
        <w:pStyle w:val="ListBullet"/>
        <w:spacing w:after="20"/>
      </w:pPr>
      <w:r>
        <w:t>A distribuicao das competencias continua funcional, mas ainda concentrada em C6 nos estudos de caso. Isso nao impede uso, apenas recomenda aceite explicito da equipe quanto a esse balanceamento.</w:t>
      </w:r>
    </w:p>
    <w:p>
      <w:pPr>
        <w:pStyle w:val="ListBullet"/>
        <w:spacing w:after="20"/>
      </w:pPr>
      <w:r>
        <w:t>Os status dos itens permanecem como 'Pronto para revisao final', o que indica maturidade alta, mas ainda nao substitui o ato formal de homologacao.</w:t>
      </w:r>
    </w:p>
    <w:p>
      <w:pPr>
        <w:pStyle w:val="ListBullet"/>
        <w:spacing w:after="20"/>
      </w:pPr>
      <w:r>
        <w:t>Antes da aprovacao final, vale uma ultima leitura editorial curta para uniformizar o criterio de linguagem entre os blocos mais sensiveis do modulo.</w:t>
      </w:r>
    </w:p>
    <w:p>
      <w:pPr>
        <w:pStyle w:val="Heading1"/>
      </w:pPr>
      <w:r>
        <w:t>Decisao aplicada</w:t>
      </w:r>
    </w:p>
    <w:p>
      <w:r>
        <w:t>A classificacao recomendada e 'Aprovado com ressalvas'. Em termos praticos, isso significa que o Modulo 4 ja pode ser usado como base valida na trilha avaliativa e em revisao pedagógica interna, desde que a equipe registre o aceite final da distribuicao por competencias e conclua a ultima rodada de homologacao editorial.</w:t>
      </w:r>
    </w:p>
    <w:p>
      <w:pPr>
        <w:pStyle w:val="Heading1"/>
      </w:pPr>
      <w:r>
        <w:t>Pendencias curtas para fechamento</w:t>
      </w:r>
    </w:p>
    <w:p>
      <w:pPr>
        <w:pStyle w:val="ListBullet"/>
        <w:spacing w:after="20"/>
      </w:pPr>
      <w:r>
        <w:t>Registrar formalmente o aceite da distribuicao C5, C6 e C8 no modulo.</w:t>
      </w:r>
    </w:p>
    <w:p>
      <w:pPr>
        <w:pStyle w:val="ListBullet"/>
        <w:spacing w:after="20"/>
      </w:pPr>
      <w:r>
        <w:t>Confirmar se a expressao 'Pronto para revisao final' sera mantida ou convertida para status de homologado apos o aceite.</w:t>
      </w:r>
    </w:p>
    <w:p>
      <w:pPr>
        <w:pStyle w:val="ListBullet"/>
        <w:spacing w:after="20"/>
      </w:pPr>
      <w:r>
        <w:t>Executar leitura editorial final com foco em padronizacao de tom nas situacoes sensiveis.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